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FFB" w:rsidRPr="00A04532" w:rsidRDefault="00462FFB" w:rsidP="00A04532">
      <w:pPr>
        <w:keepNext/>
        <w:keepLines/>
        <w:spacing w:after="0" w:line="240" w:lineRule="auto"/>
        <w:jc w:val="center"/>
        <w:outlineLvl w:val="6"/>
        <w:rPr>
          <w:rFonts w:ascii="Times New Roman" w:eastAsiaTheme="majorEastAsia" w:hAnsi="Times New Roman" w:cs="Times New Roman"/>
          <w:b/>
          <w:i/>
          <w:iCs/>
          <w:sz w:val="24"/>
          <w:szCs w:val="24"/>
        </w:rPr>
      </w:pPr>
      <w:r w:rsidRPr="00A04532">
        <w:rPr>
          <w:rFonts w:ascii="Times New Roman" w:eastAsiaTheme="majorEastAsia" w:hAnsi="Times New Roman" w:cs="Times New Roman"/>
          <w:b/>
          <w:i/>
          <w:iCs/>
          <w:sz w:val="24"/>
          <w:szCs w:val="24"/>
        </w:rPr>
        <w:t>ТЕХНИЧЕСКОЕ ЗАДАНИЕ</w:t>
      </w:r>
    </w:p>
    <w:p w:rsidR="00462FFB" w:rsidRPr="00A04532" w:rsidRDefault="00462FFB" w:rsidP="00A04532">
      <w:pPr>
        <w:spacing w:after="0" w:line="240" w:lineRule="auto"/>
        <w:rPr>
          <w:rFonts w:ascii="Times New Roman" w:hAnsi="Times New Roman" w:cs="Times New Roman"/>
        </w:rPr>
      </w:pPr>
    </w:p>
    <w:p w:rsidR="00462FFB" w:rsidRPr="00A04532" w:rsidRDefault="00462FFB" w:rsidP="00A04532">
      <w:pPr>
        <w:spacing w:after="0" w:line="240" w:lineRule="auto"/>
        <w:rPr>
          <w:rFonts w:ascii="Times New Roman" w:hAnsi="Times New Roman" w:cs="Times New Roman"/>
          <w:b/>
          <w:sz w:val="24"/>
          <w:szCs w:val="24"/>
          <w:u w:val="single"/>
        </w:rPr>
      </w:pPr>
      <w:r w:rsidRPr="00A04532">
        <w:rPr>
          <w:rFonts w:ascii="Times New Roman" w:hAnsi="Times New Roman" w:cs="Times New Roman"/>
          <w:b/>
          <w:sz w:val="24"/>
          <w:szCs w:val="24"/>
          <w:u w:val="single"/>
        </w:rPr>
        <w:t>Общие требования к поставляемой продукции:</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1) 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 xml:space="preserve">2) В комплект поставки продукции должны входить все необходимые материалы, комплектующие и принадлежности в соответствии с её функциональным назначением и требованиями технического задания.(наличие регистрационного удостоверения)    </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4) Продукция должна быть разрешена к применению на территории Российской Федерации и сопровождаться следующими документами:</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5) Поставка Товара осуществляется собственными силами и средствами Поставщика на склад Покупателя, расположенный по адресу: 45326</w:t>
      </w:r>
      <w:r w:rsidR="00413241" w:rsidRPr="00A04532">
        <w:rPr>
          <w:rFonts w:ascii="Times New Roman" w:hAnsi="Times New Roman" w:cs="Times New Roman"/>
          <w:sz w:val="24"/>
          <w:szCs w:val="24"/>
        </w:rPr>
        <w:t>6</w:t>
      </w:r>
      <w:r w:rsidRPr="00A04532">
        <w:rPr>
          <w:rFonts w:ascii="Times New Roman" w:hAnsi="Times New Roman" w:cs="Times New Roman"/>
          <w:sz w:val="24"/>
          <w:szCs w:val="24"/>
        </w:rPr>
        <w:t>, РБ, г. Салават, ул.Октябрьская, д.35</w:t>
      </w:r>
    </w:p>
    <w:p w:rsidR="00D07BB1" w:rsidRPr="00A04532" w:rsidRDefault="00D07BB1" w:rsidP="00A04532">
      <w:pPr>
        <w:spacing w:after="0" w:line="240" w:lineRule="auto"/>
        <w:jc w:val="both"/>
        <w:rPr>
          <w:rFonts w:ascii="Times New Roman" w:hAnsi="Times New Roman" w:cs="Times New Roman"/>
          <w:sz w:val="24"/>
          <w:szCs w:val="24"/>
        </w:rPr>
      </w:pPr>
    </w:p>
    <w:p w:rsidR="00D07BB1" w:rsidRPr="00A04532" w:rsidRDefault="00D07BB1" w:rsidP="00A04532">
      <w:pPr>
        <w:spacing w:after="0" w:line="240" w:lineRule="auto"/>
        <w:jc w:val="both"/>
        <w:rPr>
          <w:rFonts w:ascii="Times New Roman" w:hAnsi="Times New Roman" w:cs="Times New Roman"/>
          <w:b/>
          <w:sz w:val="24"/>
          <w:szCs w:val="24"/>
        </w:rPr>
      </w:pPr>
      <w:r w:rsidRPr="00A04532">
        <w:rPr>
          <w:rFonts w:ascii="Times New Roman" w:hAnsi="Times New Roman" w:cs="Times New Roman"/>
          <w:b/>
          <w:sz w:val="24"/>
          <w:szCs w:val="24"/>
        </w:rPr>
        <w:t>Лот№</w:t>
      </w:r>
      <w:r w:rsidR="003430B1">
        <w:rPr>
          <w:rFonts w:ascii="Times New Roman" w:hAnsi="Times New Roman" w:cs="Times New Roman"/>
          <w:b/>
          <w:sz w:val="24"/>
          <w:szCs w:val="24"/>
        </w:rPr>
        <w:t>1</w:t>
      </w:r>
      <w:r w:rsidRPr="00A04532">
        <w:rPr>
          <w:rFonts w:ascii="Times New Roman" w:hAnsi="Times New Roman" w:cs="Times New Roman"/>
          <w:b/>
          <w:sz w:val="24"/>
          <w:szCs w:val="24"/>
        </w:rPr>
        <w:t xml:space="preserve"> Предмет договора: </w:t>
      </w:r>
      <w:r w:rsidR="003430B1">
        <w:rPr>
          <w:rFonts w:ascii="Times New Roman" w:hAnsi="Times New Roman" w:cs="Times New Roman"/>
          <w:b/>
          <w:sz w:val="24"/>
          <w:szCs w:val="24"/>
        </w:rPr>
        <w:t>п</w:t>
      </w:r>
      <w:r w:rsidRPr="00A04532">
        <w:rPr>
          <w:rFonts w:ascii="Times New Roman" w:hAnsi="Times New Roman" w:cs="Times New Roman"/>
          <w:b/>
          <w:sz w:val="24"/>
          <w:szCs w:val="24"/>
        </w:rPr>
        <w:t xml:space="preserve">оставка реагентов для проведения иммуноферментного анализа </w:t>
      </w:r>
    </w:p>
    <w:p w:rsidR="00D07BB1" w:rsidRPr="00A04532" w:rsidRDefault="00D07BB1" w:rsidP="00A04532">
      <w:pPr>
        <w:spacing w:after="0" w:line="240" w:lineRule="auto"/>
        <w:jc w:val="both"/>
        <w:rPr>
          <w:rFonts w:ascii="Times New Roman" w:hAnsi="Times New Roman" w:cs="Times New Roman"/>
          <w:b/>
          <w:bCs/>
          <w:sz w:val="24"/>
          <w:szCs w:val="24"/>
        </w:rPr>
      </w:pPr>
      <w:r w:rsidRPr="00A04532">
        <w:rPr>
          <w:rFonts w:ascii="Times New Roman" w:hAnsi="Times New Roman" w:cs="Times New Roman"/>
          <w:b/>
          <w:bCs/>
          <w:sz w:val="24"/>
          <w:szCs w:val="24"/>
        </w:rPr>
        <w:t>Объем и характеристики поставляемого товара:</w:t>
      </w:r>
    </w:p>
    <w:tbl>
      <w:tblPr>
        <w:tblW w:w="15183" w:type="dxa"/>
        <w:tblInd w:w="93" w:type="dxa"/>
        <w:tblLook w:val="04A0" w:firstRow="1" w:lastRow="0" w:firstColumn="1" w:lastColumn="0" w:noHBand="0" w:noVBand="1"/>
      </w:tblPr>
      <w:tblGrid>
        <w:gridCol w:w="960"/>
        <w:gridCol w:w="3166"/>
        <w:gridCol w:w="9214"/>
        <w:gridCol w:w="850"/>
        <w:gridCol w:w="993"/>
      </w:tblGrid>
      <w:tr w:rsidR="00D07BB1" w:rsidRPr="003430B1" w:rsidTr="003430B1">
        <w:trPr>
          <w:trHeight w:val="632"/>
        </w:trPr>
        <w:tc>
          <w:tcPr>
            <w:tcW w:w="960" w:type="dxa"/>
            <w:tcBorders>
              <w:top w:val="single" w:sz="8" w:space="0" w:color="auto"/>
              <w:left w:val="single" w:sz="8" w:space="0" w:color="auto"/>
              <w:bottom w:val="single" w:sz="4" w:space="0" w:color="auto"/>
              <w:right w:val="single" w:sz="8" w:space="0" w:color="auto"/>
            </w:tcBorders>
            <w:shd w:val="clear" w:color="auto" w:fill="66FFFF"/>
            <w:vAlign w:val="center"/>
            <w:hideMark/>
          </w:tcPr>
          <w:p w:rsidR="00D07BB1" w:rsidRPr="003430B1" w:rsidRDefault="00D07BB1" w:rsidP="00A04532">
            <w:pPr>
              <w:spacing w:after="0" w:line="240" w:lineRule="auto"/>
              <w:jc w:val="center"/>
              <w:rPr>
                <w:rFonts w:ascii="Times New Roman" w:eastAsia="Times New Roman" w:hAnsi="Times New Roman" w:cs="Times New Roman"/>
                <w:b/>
                <w:bCs/>
                <w:sz w:val="24"/>
                <w:szCs w:val="24"/>
                <w:lang w:eastAsia="ru-RU"/>
              </w:rPr>
            </w:pPr>
            <w:r w:rsidRPr="003430B1">
              <w:rPr>
                <w:rFonts w:ascii="Times New Roman" w:eastAsia="Times New Roman" w:hAnsi="Times New Roman" w:cs="Times New Roman"/>
                <w:b/>
                <w:bCs/>
                <w:sz w:val="24"/>
                <w:szCs w:val="24"/>
                <w:lang w:eastAsia="ru-RU"/>
              </w:rPr>
              <w:t>№</w:t>
            </w:r>
          </w:p>
        </w:tc>
        <w:tc>
          <w:tcPr>
            <w:tcW w:w="3166" w:type="dxa"/>
            <w:tcBorders>
              <w:top w:val="single" w:sz="8" w:space="0" w:color="auto"/>
              <w:left w:val="nil"/>
              <w:bottom w:val="single" w:sz="4" w:space="0" w:color="auto"/>
              <w:right w:val="single" w:sz="8" w:space="0" w:color="auto"/>
            </w:tcBorders>
            <w:shd w:val="clear" w:color="auto" w:fill="66FFFF"/>
            <w:vAlign w:val="center"/>
            <w:hideMark/>
          </w:tcPr>
          <w:p w:rsidR="00D07BB1" w:rsidRPr="003430B1" w:rsidRDefault="00D07BB1" w:rsidP="00A04532">
            <w:pPr>
              <w:spacing w:after="0" w:line="240" w:lineRule="auto"/>
              <w:jc w:val="center"/>
              <w:rPr>
                <w:rFonts w:ascii="Times New Roman" w:eastAsia="Times New Roman" w:hAnsi="Times New Roman" w:cs="Times New Roman"/>
                <w:b/>
                <w:bCs/>
                <w:i/>
                <w:iCs/>
                <w:sz w:val="24"/>
                <w:szCs w:val="24"/>
                <w:lang w:eastAsia="ru-RU"/>
              </w:rPr>
            </w:pPr>
            <w:r w:rsidRPr="003430B1">
              <w:rPr>
                <w:rFonts w:ascii="Times New Roman" w:eastAsia="Times New Roman" w:hAnsi="Times New Roman" w:cs="Times New Roman"/>
                <w:b/>
                <w:bCs/>
                <w:i/>
                <w:iCs/>
                <w:sz w:val="24"/>
                <w:szCs w:val="24"/>
                <w:lang w:eastAsia="ru-RU"/>
              </w:rPr>
              <w:t>Наименование товара</w:t>
            </w:r>
          </w:p>
        </w:tc>
        <w:tc>
          <w:tcPr>
            <w:tcW w:w="9214" w:type="dxa"/>
            <w:tcBorders>
              <w:top w:val="single" w:sz="8" w:space="0" w:color="auto"/>
              <w:left w:val="nil"/>
              <w:bottom w:val="single" w:sz="4" w:space="0" w:color="auto"/>
              <w:right w:val="single" w:sz="8" w:space="0" w:color="auto"/>
            </w:tcBorders>
            <w:shd w:val="clear" w:color="auto" w:fill="66FFFF"/>
            <w:vAlign w:val="center"/>
            <w:hideMark/>
          </w:tcPr>
          <w:p w:rsidR="00D07BB1" w:rsidRPr="003430B1" w:rsidRDefault="00D07BB1" w:rsidP="00A04532">
            <w:pPr>
              <w:spacing w:after="0" w:line="240" w:lineRule="auto"/>
              <w:jc w:val="center"/>
              <w:rPr>
                <w:rFonts w:ascii="Times New Roman" w:eastAsia="Times New Roman" w:hAnsi="Times New Roman" w:cs="Times New Roman"/>
                <w:b/>
                <w:bCs/>
                <w:i/>
                <w:iCs/>
                <w:sz w:val="24"/>
                <w:szCs w:val="24"/>
                <w:lang w:eastAsia="ru-RU"/>
              </w:rPr>
            </w:pPr>
            <w:r w:rsidRPr="003430B1">
              <w:rPr>
                <w:rFonts w:ascii="Times New Roman" w:eastAsia="Times New Roman" w:hAnsi="Times New Roman" w:cs="Times New Roman"/>
                <w:b/>
                <w:bCs/>
                <w:i/>
                <w:iCs/>
                <w:sz w:val="24"/>
                <w:szCs w:val="24"/>
                <w:lang w:eastAsia="ru-RU"/>
              </w:rPr>
              <w:t>Качественные характеристики</w:t>
            </w:r>
          </w:p>
        </w:tc>
        <w:tc>
          <w:tcPr>
            <w:tcW w:w="850" w:type="dxa"/>
            <w:tcBorders>
              <w:top w:val="single" w:sz="8" w:space="0" w:color="auto"/>
              <w:left w:val="nil"/>
              <w:bottom w:val="single" w:sz="4" w:space="0" w:color="auto"/>
              <w:right w:val="single" w:sz="8" w:space="0" w:color="auto"/>
            </w:tcBorders>
            <w:shd w:val="clear" w:color="auto" w:fill="66FFFF"/>
            <w:vAlign w:val="center"/>
            <w:hideMark/>
          </w:tcPr>
          <w:p w:rsidR="00D07BB1" w:rsidRPr="003430B1" w:rsidRDefault="00D07BB1" w:rsidP="00A04532">
            <w:pPr>
              <w:spacing w:after="0" w:line="240" w:lineRule="auto"/>
              <w:jc w:val="center"/>
              <w:rPr>
                <w:rFonts w:ascii="Times New Roman" w:eastAsia="Times New Roman" w:hAnsi="Times New Roman" w:cs="Times New Roman"/>
                <w:b/>
                <w:bCs/>
                <w:i/>
                <w:iCs/>
                <w:sz w:val="24"/>
                <w:szCs w:val="24"/>
                <w:lang w:eastAsia="ru-RU"/>
              </w:rPr>
            </w:pPr>
            <w:r w:rsidRPr="003430B1">
              <w:rPr>
                <w:rFonts w:ascii="Times New Roman" w:eastAsia="Times New Roman" w:hAnsi="Times New Roman" w:cs="Times New Roman"/>
                <w:b/>
                <w:bCs/>
                <w:i/>
                <w:iCs/>
                <w:sz w:val="24"/>
                <w:szCs w:val="24"/>
                <w:lang w:eastAsia="ru-RU"/>
              </w:rPr>
              <w:t>Ед. изм.</w:t>
            </w:r>
          </w:p>
        </w:tc>
        <w:tc>
          <w:tcPr>
            <w:tcW w:w="993" w:type="dxa"/>
            <w:tcBorders>
              <w:top w:val="single" w:sz="8" w:space="0" w:color="auto"/>
              <w:left w:val="nil"/>
              <w:bottom w:val="single" w:sz="4" w:space="0" w:color="auto"/>
              <w:right w:val="single" w:sz="8" w:space="0" w:color="auto"/>
            </w:tcBorders>
            <w:shd w:val="clear" w:color="auto" w:fill="66FFFF"/>
            <w:vAlign w:val="center"/>
            <w:hideMark/>
          </w:tcPr>
          <w:p w:rsidR="00D07BB1" w:rsidRPr="003430B1" w:rsidRDefault="00D07BB1" w:rsidP="00A04532">
            <w:pPr>
              <w:spacing w:after="0" w:line="240" w:lineRule="auto"/>
              <w:jc w:val="center"/>
              <w:rPr>
                <w:rFonts w:ascii="Times New Roman" w:eastAsia="Times New Roman" w:hAnsi="Times New Roman" w:cs="Times New Roman"/>
                <w:b/>
                <w:bCs/>
                <w:i/>
                <w:iCs/>
                <w:sz w:val="24"/>
                <w:szCs w:val="24"/>
                <w:lang w:eastAsia="ru-RU"/>
              </w:rPr>
            </w:pPr>
            <w:r w:rsidRPr="003430B1">
              <w:rPr>
                <w:rFonts w:ascii="Times New Roman" w:eastAsia="Times New Roman" w:hAnsi="Times New Roman" w:cs="Times New Roman"/>
                <w:b/>
                <w:bCs/>
                <w:i/>
                <w:iCs/>
                <w:sz w:val="24"/>
                <w:szCs w:val="24"/>
                <w:lang w:eastAsia="ru-RU"/>
              </w:rPr>
              <w:t>Кол-во</w:t>
            </w:r>
          </w:p>
        </w:tc>
      </w:tr>
      <w:tr w:rsidR="00CD3E5E" w:rsidRPr="003430B1" w:rsidTr="003430B1">
        <w:trPr>
          <w:trHeight w:val="53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D3E5E" w:rsidRPr="003430B1"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1</w:t>
            </w:r>
          </w:p>
        </w:tc>
        <w:tc>
          <w:tcPr>
            <w:tcW w:w="3166" w:type="dxa"/>
            <w:tcBorders>
              <w:top w:val="single" w:sz="4" w:space="0" w:color="auto"/>
              <w:left w:val="nil"/>
              <w:bottom w:val="single" w:sz="4" w:space="0" w:color="auto"/>
              <w:right w:val="single" w:sz="4" w:space="0" w:color="auto"/>
            </w:tcBorders>
            <w:shd w:val="clear" w:color="000000" w:fill="FFFFFF"/>
          </w:tcPr>
          <w:p w:rsidR="00CD3E5E" w:rsidRPr="003430B1" w:rsidRDefault="00CD3E5E"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Вектогеп В-HBs-антиген-стрип (комплект №3) (кат.№0556)</w:t>
            </w:r>
          </w:p>
        </w:tc>
        <w:tc>
          <w:tcPr>
            <w:tcW w:w="9214" w:type="dxa"/>
            <w:tcBorders>
              <w:top w:val="single" w:sz="4" w:space="0" w:color="auto"/>
              <w:left w:val="nil"/>
              <w:bottom w:val="single" w:sz="4" w:space="0" w:color="auto"/>
              <w:right w:val="single" w:sz="4" w:space="0" w:color="auto"/>
            </w:tcBorders>
            <w:shd w:val="clear" w:color="auto" w:fill="auto"/>
          </w:tcPr>
          <w:p w:rsidR="00CD3E5E" w:rsidRPr="003430B1" w:rsidRDefault="00CD3E5E"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 xml:space="preserve">Назначение:  для выявления HBsAg вируса гепатита В разных субтипов и мутантных форм  образцах сыворотки (плазмы) и препаратах  крови человека (иммуноглобулинах, интерферонах, криопреципитате, альбумине),  может быть использован для обследования доноров крови, органов, тканей человека и дифференциальной диагностики вирусных гепатитов. Метод одностадийный без предварительной промывки планшета с однократным внесением конъюгата. Количество определений не менее 96 ( не менее 12 стрипов по 8 лунок).  Объем  образца не более 100 мкл, объемное равенство контролей и образцов.  Наличие жидкого слабоположительного контрольного образца,  унифицированных неспецифических компонентов.  Стабильность рабочего раствора хромогена не менее 10 ч., рабочего раствора конъюгата не менее 1 мес.  Наличие не менее двух режимов инкубации. Возможность выявления в наборе  двух чувствительностей (не более 0,05 МЕ/мл и не более 0,01 МЕ/мл) при разных процедурах постановки анализа.  Стадия проведения реакции с хромогеном должна быть стандартизирована в условиях термостата.  Минимальное время проведения реакции не более 1ч 20 мин.  Возможность использования набора в </w:t>
            </w:r>
            <w:r w:rsidRPr="003430B1">
              <w:rPr>
                <w:rFonts w:ascii="Times New Roman" w:hAnsi="Times New Roman" w:cs="Times New Roman"/>
                <w:sz w:val="24"/>
                <w:szCs w:val="24"/>
              </w:rPr>
              <w:lastRenderedPageBreak/>
              <w:t>автоматических анализаторах открытого типа. Возможность дробного использования набора в течение всего срока годности набора.</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3430B1" w:rsidRDefault="00CD3E5E"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lastRenderedPageBreak/>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4D3845">
            <w:pPr>
              <w:jc w:val="center"/>
              <w:rPr>
                <w:rFonts w:ascii="Times New Roman" w:hAnsi="Times New Roman" w:cs="Times New Roman"/>
              </w:rPr>
            </w:pPr>
            <w:r w:rsidRPr="003430B1">
              <w:rPr>
                <w:rFonts w:ascii="Times New Roman" w:hAnsi="Times New Roman" w:cs="Times New Roman"/>
              </w:rPr>
              <w:t>47</w:t>
            </w:r>
          </w:p>
          <w:p w:rsidR="00CD3E5E" w:rsidRPr="003430B1" w:rsidRDefault="00CD3E5E" w:rsidP="00A04532">
            <w:pPr>
              <w:spacing w:after="0" w:line="240" w:lineRule="auto"/>
              <w:jc w:val="center"/>
              <w:rPr>
                <w:rFonts w:ascii="Times New Roman" w:hAnsi="Times New Roman" w:cs="Times New Roman"/>
                <w:sz w:val="24"/>
                <w:szCs w:val="24"/>
              </w:rPr>
            </w:pPr>
          </w:p>
        </w:tc>
      </w:tr>
      <w:tr w:rsidR="004D3845" w:rsidRPr="003430B1" w:rsidTr="003430B1">
        <w:trPr>
          <w:trHeight w:val="1260"/>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4D3845" w:rsidRPr="003430B1" w:rsidRDefault="004D384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lastRenderedPageBreak/>
              <w:t>2</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БЕСТ-анти-ВГС (комплект 2 / стрип) (кат.№0772)</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 для  иммуноферментного  выявления иммуноглобулинов    классов G и  M к вирусу гепатита С в сыворотке (плазме) крови и препаратах  крови человека (иммуноглобулины, интерфероны, криопреципитат, альбумин). Метод двухстадийный без предварительной промывки планшет. Количество определений не менее 96 (планшет с иммобилизованными рекомбинантными антигенами ВГС  - не менее 12х8), объем  образца  не более 40 мкл, объемное равенство контролей и образцов. Стабильность рабочих растворов конъюгата и  хромогена не менее 10 ч. Цветовая индикация внесения реагентов,  наличие не менее двух режимов инкубации (в шейкере  и термостате),  унифицированных неспецифических компонентов.  Наличие дополнительных компонентов набора: разовых емкостей для растворов- не менее 2, разовые наконечники для дозаторов - не менее 16, липкая пленка для планшета -не менее 2.Предусмотрен расчет коэффициента позитивности. Возможность спектрофотометрического контроля внесения образцов и реагентов. Возможность использования набора в автоматических  ИФА-анализаторах открытого типа. Возможность дробного использования набора в течение всего срока годности набора.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52</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3</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ВектоЦМВ-IgG (кат.№1554)</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Назначение:для иммуноферментного выявления  иммуноглобулинов класса G к цитомегаловирусу.  Метод двухстадийный без предварительной промывки планшет. Количество определений не менее 96 (12х8, планшет разборный с иммобилизованными рекомбинантными белками ЦМВ),  объем образца не более 10 мкл (рабочее разведение не менее 1:100), цветовая индикация внесения сывороток в лунки планшета.  Возможность определения титра антител.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Температура инкубации с сыворотками и конъюгатом 37°С. Возможность дробного использования набора после первого вскрытия реагентов в течение всего срока годности набора.</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2</w:t>
            </w:r>
          </w:p>
        </w:tc>
      </w:tr>
      <w:tr w:rsidR="00CD3E5E"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4</w:t>
            </w:r>
          </w:p>
        </w:tc>
        <w:tc>
          <w:tcPr>
            <w:tcW w:w="3166" w:type="dxa"/>
            <w:tcBorders>
              <w:top w:val="single" w:sz="4" w:space="0" w:color="auto"/>
              <w:left w:val="nil"/>
              <w:bottom w:val="single" w:sz="4" w:space="0" w:color="auto"/>
              <w:right w:val="single" w:sz="4" w:space="0" w:color="auto"/>
            </w:tcBorders>
            <w:shd w:val="clear" w:color="000000" w:fill="FFFFFF"/>
          </w:tcPr>
          <w:p w:rsidR="00CD3E5E" w:rsidRPr="003430B1" w:rsidRDefault="00CD3E5E"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ВектоЦМВ-IgG-авидность (кат.№1558)</w:t>
            </w:r>
          </w:p>
        </w:tc>
        <w:tc>
          <w:tcPr>
            <w:tcW w:w="9214" w:type="dxa"/>
            <w:tcBorders>
              <w:top w:val="single" w:sz="4" w:space="0" w:color="auto"/>
              <w:left w:val="nil"/>
              <w:bottom w:val="single" w:sz="4" w:space="0" w:color="auto"/>
              <w:right w:val="single" w:sz="4" w:space="0" w:color="auto"/>
            </w:tcBorders>
            <w:shd w:val="clear" w:color="auto" w:fill="auto"/>
            <w:noWrap/>
          </w:tcPr>
          <w:p w:rsidR="00CD3E5E" w:rsidRPr="003430B1" w:rsidRDefault="00CD3E5E"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 xml:space="preserve">Назначение: для иммуноферментного   определения индекса авидности иммуноглобулинов класса G к цитомегаловирусу. Метод трехстадийный без предварительной промывки планшет, планшет разборный с иммобилизованными рекомбинантными белками ЦМВ. Количество определений не менее 48,  объем образца не более 10 мкл (конечное разведение не менее 1:100), цветовая индикация </w:t>
            </w:r>
            <w:r w:rsidRPr="003430B1">
              <w:rPr>
                <w:rFonts w:ascii="Times New Roman" w:hAnsi="Times New Roman" w:cs="Times New Roman"/>
                <w:sz w:val="24"/>
                <w:szCs w:val="24"/>
              </w:rPr>
              <w:lastRenderedPageBreak/>
              <w:t>внесения образцов в лунки планшета.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Температура инкубации с сыворотками и конъюгатом 37°С.  Возможность дополнительной регистрации результатов теста при длине волны 405 нм. Возможность дробного использования набора на протяжении всего срока годности с момента вскрытия.</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3430B1" w:rsidRDefault="00CD3E5E"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lastRenderedPageBreak/>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3430B1" w:rsidRDefault="004B700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1</w:t>
            </w:r>
          </w:p>
        </w:tc>
      </w:tr>
      <w:tr w:rsidR="00CD3E5E"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lastRenderedPageBreak/>
              <w:t>5</w:t>
            </w:r>
          </w:p>
        </w:tc>
        <w:tc>
          <w:tcPr>
            <w:tcW w:w="3166" w:type="dxa"/>
            <w:tcBorders>
              <w:top w:val="single" w:sz="4" w:space="0" w:color="auto"/>
              <w:left w:val="nil"/>
              <w:bottom w:val="single" w:sz="4" w:space="0" w:color="auto"/>
              <w:right w:val="single" w:sz="4" w:space="0" w:color="auto"/>
            </w:tcBorders>
            <w:shd w:val="clear" w:color="000000" w:fill="FFFFFF"/>
          </w:tcPr>
          <w:p w:rsidR="00CD3E5E" w:rsidRPr="003430B1" w:rsidRDefault="00CD3E5E"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ВектоТоксо-IgG (кат.№1752)</w:t>
            </w:r>
          </w:p>
        </w:tc>
        <w:tc>
          <w:tcPr>
            <w:tcW w:w="9214" w:type="dxa"/>
            <w:tcBorders>
              <w:top w:val="single" w:sz="4" w:space="0" w:color="auto"/>
              <w:left w:val="nil"/>
              <w:bottom w:val="single" w:sz="4" w:space="0" w:color="auto"/>
              <w:right w:val="single" w:sz="4" w:space="0" w:color="auto"/>
            </w:tcBorders>
            <w:shd w:val="clear" w:color="auto" w:fill="auto"/>
            <w:noWrap/>
          </w:tcPr>
          <w:p w:rsidR="00CD3E5E" w:rsidRPr="003430B1" w:rsidRDefault="00CD3E5E"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 для иммуноферментного количественного и качественного определения  иммуноглобулинов класса G к Toxoplasma gondii. Метод  двухстадийный без предварительной промывки планшет.  Количество определений не менее 96 (12х8,  планшет разборный с иммобилизованным антигеном Toxoplasma gondii).  Объем образца не более 10 мкл (рабочее разведение не менее 1:100), не менее 6 калибровочных растворов с концентрациями в диапазоне не менее от 0 до 200 МЕ/мл. Чувствительность не более 1,0 МЕ/мл.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анализируемых образцов. Температура инкубации с сыворотками и конъюгатом 37°С. Возможность дробного использования набора после вскрытия на протяжении всего срока годности  набора.</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3430B1" w:rsidRDefault="00CD3E5E"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2</w:t>
            </w:r>
          </w:p>
        </w:tc>
      </w:tr>
      <w:tr w:rsidR="00CD3E5E"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6</w:t>
            </w:r>
          </w:p>
        </w:tc>
        <w:tc>
          <w:tcPr>
            <w:tcW w:w="3166" w:type="dxa"/>
            <w:tcBorders>
              <w:top w:val="single" w:sz="4" w:space="0" w:color="auto"/>
              <w:left w:val="nil"/>
              <w:bottom w:val="single" w:sz="4" w:space="0" w:color="auto"/>
              <w:right w:val="single" w:sz="4" w:space="0" w:color="auto"/>
            </w:tcBorders>
            <w:shd w:val="clear" w:color="000000" w:fill="FFFFFF"/>
          </w:tcPr>
          <w:p w:rsidR="00CD3E5E" w:rsidRPr="003430B1" w:rsidRDefault="00CD3E5E"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ВектоТоксо-IgM (кат.№1756)</w:t>
            </w:r>
          </w:p>
        </w:tc>
        <w:tc>
          <w:tcPr>
            <w:tcW w:w="9214" w:type="dxa"/>
            <w:tcBorders>
              <w:top w:val="single" w:sz="4" w:space="0" w:color="auto"/>
              <w:left w:val="nil"/>
              <w:bottom w:val="single" w:sz="4" w:space="0" w:color="auto"/>
              <w:right w:val="single" w:sz="4" w:space="0" w:color="auto"/>
            </w:tcBorders>
            <w:shd w:val="clear" w:color="auto" w:fill="auto"/>
            <w:noWrap/>
          </w:tcPr>
          <w:p w:rsidR="00CD3E5E" w:rsidRPr="003430B1" w:rsidRDefault="00CD3E5E"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Назначение:для иммуноферментного определения  иммуноглобулинов класса М к Toxoplasma gondii для ручной постановки и постановки на автоматическом анализаторе.  Метод  двухстадийный без предварительной промывки планшет.  Количество определений не менее 96 (12х8,  планшет разборный с иммобилизованным антигеном Toxoplasma gondii). Объем образца не более 10 мкл.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набора.Наличие унифицированных неспецифических компонентов, разовых емкостей для растворов, наконечников для пипеток, клейкой пленки для планшетов. Температура инкубации с сыворотками и конъюгатом 37°С.</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3430B1" w:rsidRDefault="00CD3E5E"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3</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7</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ВекторТоксо-IgG-авидность (кат.№1762)</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 xml:space="preserve">Назначение: для иммуноферментного определения  индекса авидности иммуноглобулинов класса G к Toxoplasma gondii в сыворотке (плазме) крови. Метод трехстадийный без предварительной промывки планшет, планшет разборный с </w:t>
            </w:r>
            <w:r w:rsidRPr="003430B1">
              <w:rPr>
                <w:rFonts w:ascii="Times New Roman" w:hAnsi="Times New Roman" w:cs="Times New Roman"/>
                <w:sz w:val="24"/>
                <w:szCs w:val="24"/>
              </w:rPr>
              <w:lastRenderedPageBreak/>
              <w:t>иммобилизованным антигеном Toxoplasma gondii).  Количество определений не менее 48,  объем образца не более 10 мкл (рабочее разведение исследуемого образца не менее 1:100), цветовая индикация внесения образцов в лунки планшета.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таблицы интерпретации результатов,   планшета для предварительного разведения сывороток, разовых емкостей для растворов, наконечников для пипеток, клейкой пленки для планшетов. Возможность дополнительной регистрации при 405 нм, если ОП образца выше динамического диапазона спектрофотометра (для исключения повторного анализа сывороток с их дополнительным разведением).  Температура инкубации с сыворотками и конъюгатом 37°С. Возможность дробного использования набора на протяжении всего срока годности  набора.</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lastRenderedPageBreak/>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2</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lastRenderedPageBreak/>
              <w:t>8</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РекомбиБест антипаллидум-суммарные антитела (комплект 2 / стрип) (кат.№1856)</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 для иммуноферментного выявления суммарных антител к Treponema pallidum в сыворотке(плазме) крови человека. Метод одностадийный, не требующий предварительной промывки планшет, для выявления суммарных антител  (IgG, IgA, IgM) в сыворотке/плазме крови. Количество определений не менее 96 (12х8, планшет разборный с иммобилизованными рекомбинантными антигенами Treponema pallidum).   Объем образца  не более 10 мкл.   Объемное равенство контролей и образцов. Наличие: унифицированных неспецифических компонентов.</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63</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9</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ХламиБест-C.trachomatis-IgM (кат.№1966)</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 для  иммуноферментного выявления видоспецифических иммуноглобулинов класса М к антигенам Chlamydia trachomatis. Метод двухстадийный,  с однократной предварительной промывкой планшета. Количество определений не менее 96 (12х8, планшет разборный с иммобилизованными рекомбинантными антигенами C. trachomatis),  объем образца  не более 10 мкл. Объемное равенство контролей и образцов. Рабочий раствор тетраметилбензидина жидкий, готовый.   Наличие  унифицированных неспецифических компонентов,  разовых емкостей для растворов, наконечников для пипеток, клейкой пленки для планшетов;  хранение неиспользованных  стрипов на протяжении всего срока годности набора.  Дробное использование набора может быть реализовано в течение всего срока годности набора.</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B7005">
            <w:pPr>
              <w:jc w:val="center"/>
              <w:rPr>
                <w:rFonts w:ascii="Times New Roman" w:hAnsi="Times New Roman" w:cs="Times New Roman"/>
              </w:rPr>
            </w:pPr>
            <w:r w:rsidRPr="003430B1">
              <w:rPr>
                <w:rFonts w:ascii="Times New Roman" w:hAnsi="Times New Roman" w:cs="Times New Roman"/>
              </w:rPr>
              <w:t>2</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10</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ВектоВПГ-1,2-IgG-авидность (кат.№2156)</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 xml:space="preserve">Назначение: для иммуноферментного определения индекса авидности иммуноглобулинов класса G к вирусу простого герпеса 1 и 2 типов в сыворотке (плазме) крови. Метод  трехстадийный без предварительной промывки планшет, планшет разборный с иммобилизованным на внутренней поверхности лунок антигеном ВПГ, готовый для использования).  Количество определений не менее 48,  </w:t>
            </w:r>
            <w:r w:rsidRPr="003430B1">
              <w:rPr>
                <w:rFonts w:ascii="Times New Roman" w:hAnsi="Times New Roman" w:cs="Times New Roman"/>
                <w:sz w:val="24"/>
                <w:szCs w:val="24"/>
              </w:rPr>
              <w:lastRenderedPageBreak/>
              <w:t>объем образца не более 10 мкл (рабочее разведение сыворотки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дополнительной регистрации результатов теста при длине волны 405 нм. Возможность дробного использования набора на протяжении всего срока годности с момента вскрытия.</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lastRenderedPageBreak/>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1</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lastRenderedPageBreak/>
              <w:t>11</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ВектоВЭБ-NA-IgG (кат.№2170)</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Назначение:для иммуноферментного выявления иммуноглобулинов класса  G к  ядерному  антигену NА вируса Эпштейна-Барр в сыворотке (плазме) крови.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ядерным антигеном вируса Эпштейна-Барр),  объем образца не более 10 мкл (конечное разведение 1:100), цветовая индикация внесения сывороток в лунки планшета. Рабочие растворы конъюгата (моноклональные антитела к IgG человека с пероксидазой хрена)  и тетраметилбензидина жидкие, готовые, не требующие дополнительных разведений, стабильны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всего срока годности набора.</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1</w:t>
            </w:r>
          </w:p>
        </w:tc>
      </w:tr>
      <w:tr w:rsidR="004D3845" w:rsidRPr="003430B1" w:rsidTr="003430B1">
        <w:trPr>
          <w:trHeight w:val="134"/>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12</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ВектоВЭБ-VCA-IgM (кат.№2176)</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Назначение:для иммуноферментного выявления иммуноглобулинов класса  М к капсидному антигену VCA вируса Эпштейна-Барр в сыворотке (плазме) крови.  Метод двухстадийный без предварительной промывки планшет. Количество определений не менее 96 (12х8, планшет разборный с иммобилизованным капсидным антигеном VCА вируса Эпштейна-Барр),  объем образца не более 10 мкл (рабочее разведение не менее 1:100), цветовая индикация внесения сывороток в лунки планшета.  Рабочие растворы конъюгата и тетраметилбензидина жидкие, готовые, не требующие дополнительных разведений, стабильны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всего срока годности набора.</w:t>
            </w:r>
            <w:r w:rsidRPr="003430B1">
              <w:rPr>
                <w:rFonts w:ascii="Times New Roman" w:hAnsi="Times New Roman" w:cs="Times New Roman"/>
                <w:sz w:val="24"/>
                <w:szCs w:val="24"/>
                <w:lang w:eastAsia="ar-SA"/>
              </w:rPr>
              <w:t xml:space="preserve"> Производства ЗАО «Вектор-Бест», </w:t>
            </w:r>
            <w:r w:rsidRPr="003430B1">
              <w:rPr>
                <w:rFonts w:ascii="Times New Roman" w:hAnsi="Times New Roman" w:cs="Times New Roman"/>
                <w:sz w:val="24"/>
                <w:szCs w:val="24"/>
                <w:lang w:eastAsia="ar-SA"/>
              </w:rPr>
              <w:lastRenderedPageBreak/>
              <w:t>Новосибирск</w:t>
            </w:r>
            <w:bookmarkStart w:id="0" w:name="_GoBack"/>
            <w:bookmarkEnd w:id="0"/>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lastRenderedPageBreak/>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1</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lastRenderedPageBreak/>
              <w:t>1</w:t>
            </w:r>
            <w:r w:rsidR="004D3845" w:rsidRPr="003430B1">
              <w:rPr>
                <w:rFonts w:ascii="Times New Roman" w:eastAsia="Times New Roman" w:hAnsi="Times New Roman" w:cs="Times New Roman"/>
                <w:color w:val="000000"/>
                <w:sz w:val="24"/>
                <w:szCs w:val="24"/>
                <w:lang w:eastAsia="ru-RU"/>
              </w:rPr>
              <w:t>3</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ВектоВПГ-2-IgG (кат.№2180)</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 для иммуноферментного выявления  иммуноглобулинов класса G к вирусу простого герпеса 2 типа.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рекомбинантным белком gG ВПГ-2),  объем образца не более 10 мкл (рабочее разведение образца не менее 1:100).  Цветовая индикация внесения образцов. Наличие унифицированных неспецифических компонентов,  разовых емкостей для растворов, наконечников для пипеток, клейкой пленки для планшетов,  выдача результатов в титрах. Температура инкубации с сыворотками и конъюгатом 37°С.</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1</w:t>
            </w:r>
          </w:p>
        </w:tc>
      </w:tr>
      <w:tr w:rsidR="004D3845" w:rsidRPr="003430B1" w:rsidTr="003430B1">
        <w:trPr>
          <w:trHeight w:val="36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1</w:t>
            </w:r>
            <w:r w:rsidR="004D3845" w:rsidRPr="003430B1">
              <w:rPr>
                <w:rFonts w:ascii="Times New Roman" w:eastAsia="Times New Roman" w:hAnsi="Times New Roman" w:cs="Times New Roman"/>
                <w:color w:val="000000"/>
                <w:sz w:val="24"/>
                <w:szCs w:val="24"/>
                <w:lang w:eastAsia="ru-RU"/>
              </w:rPr>
              <w:t>4</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ВектоВПГ-2-IgM (кат.№2181)</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Назначение:для иммуноферментного выявления  иммуноглобулинов класса М к вирусу простого герпеса 2 типа.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рекомбинантным белком gG ВПГ-2),  объем образца не более 10 мкл (рабочее разведение образца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набора после первого вскрытия реагентов в течение всего срока годности набора.</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1</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1</w:t>
            </w:r>
            <w:r w:rsidR="004D3845" w:rsidRPr="003430B1">
              <w:rPr>
                <w:rFonts w:ascii="Times New Roman" w:eastAsia="Times New Roman" w:hAnsi="Times New Roman" w:cs="Times New Roman"/>
                <w:color w:val="000000"/>
                <w:sz w:val="24"/>
                <w:szCs w:val="24"/>
                <w:lang w:eastAsia="ru-RU"/>
              </w:rPr>
              <w:t>5</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ВектоВПГ-2-IgG-авидность (кат.№2182)</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Назначение:для иммуноферментного определения индекса авидности иммуноглобулинов класса G к вирусу простого герпеса  2 типа в сыворотке (плазме) крови. Метод трехстадийный без предварительной промывки планшет, планшет разборный с иммобилизованным на внутренней поверхности лунок рекомбинантным белком gG ВПГ-2. Количество определений не менее 48,  объем образца не более 10 мкл (рабочее разведение образца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планшета для предварительного разведения сывороток.  Возможность дополнительной регистрации результатов теста при длине волны 405 нм. Температура инкубации с сыворотками и конъюгатом 37°С. Возможность дробного использования набора с момента вскрытия на протяжении всего срока годности набора.</w:t>
            </w:r>
            <w:r w:rsidRPr="003430B1">
              <w:rPr>
                <w:rFonts w:ascii="Times New Roman" w:hAnsi="Times New Roman" w:cs="Times New Roman"/>
                <w:sz w:val="24"/>
                <w:szCs w:val="24"/>
                <w:lang w:eastAsia="ar-SA"/>
              </w:rPr>
              <w:t xml:space="preserve"> Производства ЗАО «Вектор-Бест», </w:t>
            </w:r>
            <w:r w:rsidRPr="003430B1">
              <w:rPr>
                <w:rFonts w:ascii="Times New Roman" w:hAnsi="Times New Roman" w:cs="Times New Roman"/>
                <w:sz w:val="24"/>
                <w:szCs w:val="24"/>
                <w:lang w:eastAsia="ar-SA"/>
              </w:rPr>
              <w:lastRenderedPageBreak/>
              <w:t>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lastRenderedPageBreak/>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1</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lastRenderedPageBreak/>
              <w:t>1</w:t>
            </w:r>
            <w:r w:rsidR="004D3845" w:rsidRPr="003430B1">
              <w:rPr>
                <w:rFonts w:ascii="Times New Roman" w:eastAsia="Times New Roman" w:hAnsi="Times New Roman" w:cs="Times New Roman"/>
                <w:color w:val="000000"/>
                <w:sz w:val="24"/>
                <w:szCs w:val="24"/>
                <w:lang w:eastAsia="ru-RU"/>
              </w:rPr>
              <w:t>6</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ВектоВЭБ-VCA-IgG-авидность (кат.№2183)</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 для иммуноферментного определения индекса авидности иммуноглобулинов класса G к капсидному антигену VCA вируса Эпштейна-Барр в сыворотке (плазме) крови. ИФА, трехстадийный без предварительной промывки планшет.  Количество определений не менее 48,  объем образца не более 10 мкл (рабочее разведение образца не менее 1:100), цветовая индикация внесения сывороток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1</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1</w:t>
            </w:r>
            <w:r w:rsidR="004D3845" w:rsidRPr="003430B1">
              <w:rPr>
                <w:rFonts w:ascii="Times New Roman" w:eastAsia="Times New Roman" w:hAnsi="Times New Roman" w:cs="Times New Roman"/>
                <w:color w:val="000000"/>
                <w:sz w:val="24"/>
                <w:szCs w:val="24"/>
                <w:lang w:eastAsia="ru-RU"/>
              </w:rPr>
              <w:t>7</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ВектоВЭБ-VCA-IgG (кат.№2184)</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Назначение:для иммуноферментного определения иммуноглобулинов класса G к капсидному антигену VCA вируса Эпштейна-Барр в сыворотке (плазме) крови. Метод двухстадийный без предварительной промывки планшет, планшет разборный с иммобилизованным капсидным антигеном вируса Эпштейна-Барр.  Количество определений не менее 96,  объем образца не более 10 мкл (рабочее разведение образца не менее 1:100), цветовая индикация внесения сывороток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не менее 3 месяцев.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1</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1</w:t>
            </w:r>
            <w:r w:rsidR="004D3845" w:rsidRPr="003430B1">
              <w:rPr>
                <w:rFonts w:ascii="Times New Roman" w:eastAsia="Times New Roman" w:hAnsi="Times New Roman" w:cs="Times New Roman"/>
                <w:color w:val="000000"/>
                <w:sz w:val="24"/>
                <w:szCs w:val="24"/>
                <w:lang w:eastAsia="ru-RU"/>
              </w:rPr>
              <w:t>8</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Ureaplasma urealyticum-IgG (кат.№2254)</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 для иммуноферментного выявления  иммуноглобулинов класса G к антигенам  Ureaplasma  urealiticum. Метод двухстадийный. Количество определений не менее 96 (12х8, планшет разборный с иммобилизованными рекомбинантными антигенами Ureaplasma ureаlyticum),  объем образца  не более 20 мкл.  Объемное равенство контролей и образцов. Рабочий раствор тетраметилбензидина жидкий, готовый. Температура инкубации с сыворотками и конъюгатом 37°С.  Наличие унифицированных неспецифических компонентов,  разовых емкостей для растворов, наконечников для пипеток, клейкой пленки для планшетов, таблицы перевода оптической плотности  в титры антител.  Возможность дробного использования набора на протяжении всего срока годности с момента вскрытия.</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1</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lastRenderedPageBreak/>
              <w:t>1</w:t>
            </w:r>
            <w:r w:rsidR="004D3845" w:rsidRPr="003430B1">
              <w:rPr>
                <w:rFonts w:ascii="Times New Roman" w:eastAsia="Times New Roman" w:hAnsi="Times New Roman" w:cs="Times New Roman"/>
                <w:color w:val="000000"/>
                <w:sz w:val="24"/>
                <w:szCs w:val="24"/>
                <w:lang w:eastAsia="ru-RU"/>
              </w:rPr>
              <w:t>9</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УреаплазмаБест-IgA (кат.№2258)</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Назначение:для иммуноферментного выявления  иммуноглобулинов класса А к антигенам  Ureaplasma  urealiticum. Метод двухстадийный. Количество определений не менее 96 (12х8, планшет разборный с иммобилизованными рекомбинантными антигенами Ureaplasma ureаlyticum),  объем образца  не более 20 мкл. Температура инкубации с сыворотками и конъюгатом 37°С. Наличие: готового рабочего раствора тетраметилбензидина,  унифицированных неспецифических компонентов,  разовых емкостей для растворов, наконечников для пипеток, клейкой пленки для планшетов.</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1</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20</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F47C11">
            <w:pPr>
              <w:pStyle w:val="a8"/>
              <w:rPr>
                <w:rFonts w:ascii="Times New Roman" w:hAnsi="Times New Roman" w:cs="Times New Roman"/>
              </w:rPr>
            </w:pPr>
            <w:r w:rsidRPr="003430B1">
              <w:rPr>
                <w:rFonts w:ascii="Times New Roman" w:hAnsi="Times New Roman" w:cs="Times New Roman"/>
              </w:rPr>
              <w:t>АТ-Туб-Бест (кат.№2352)</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 для иммуноферментного выявления суммарных антител к микобактериям туберкулеза.  Метод двухстадийный без предварительной промывки планшет с возможностью определения  суммарных антител классов A, M и G  к антигенам M.tuberculosis. Количество определений не менее 96 (12х8, планшет разборный с иммобилизованными антигенами микобактерий),  объем образца не более 10 мкл (рабочее разведение образца не менее 1:100), цветовая индикация внесения сывороток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выдача результатов в титрах.Наличие приложения по диагностической ценности полученных результатов.</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2</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2</w:t>
            </w:r>
            <w:r w:rsidR="004D3845" w:rsidRPr="003430B1">
              <w:rPr>
                <w:rFonts w:ascii="Times New Roman" w:eastAsia="Times New Roman" w:hAnsi="Times New Roman" w:cs="Times New Roman"/>
                <w:color w:val="000000"/>
                <w:sz w:val="24"/>
                <w:szCs w:val="24"/>
                <w:lang w:eastAsia="ru-RU"/>
              </w:rPr>
              <w:t>1</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Векто-Рубелла-IgG (кат.№2552)</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 для иммуноферментного выявления  иммуноглобулинов класса G к вирусу краснухи.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антигеном вируса краснухи),  объем образца не более 10 мкл (рабочее разведение не менее 1:100), цветовая индикация внесения образцов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2</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2</w:t>
            </w:r>
            <w:r w:rsidR="004D3845" w:rsidRPr="003430B1">
              <w:rPr>
                <w:rFonts w:ascii="Times New Roman" w:eastAsia="Times New Roman" w:hAnsi="Times New Roman" w:cs="Times New Roman"/>
                <w:color w:val="000000"/>
                <w:sz w:val="24"/>
                <w:szCs w:val="24"/>
                <w:lang w:eastAsia="ru-RU"/>
              </w:rPr>
              <w:t>2</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Векто-Рубелла-IgМ (кат.№2554)</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 xml:space="preserve">Назначение: для иммуноферментного выявления  иммуноглобулинов класса М к вирусу краснухи.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антигеном вируса краснухи).  Объем образца не более 10 мкл (рабочее разведение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w:t>
            </w:r>
            <w:r w:rsidRPr="003430B1">
              <w:rPr>
                <w:rFonts w:ascii="Times New Roman" w:hAnsi="Times New Roman" w:cs="Times New Roman"/>
                <w:sz w:val="24"/>
                <w:szCs w:val="24"/>
              </w:rPr>
              <w:lastRenderedPageBreak/>
              <w:t>конъюгатом 37°С. Возможность дробного использования с момента вскрытия на протяжении всего срока годности набора.</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lastRenderedPageBreak/>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2</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lastRenderedPageBreak/>
              <w:t>2</w:t>
            </w:r>
            <w:r w:rsidR="004D3845" w:rsidRPr="003430B1">
              <w:rPr>
                <w:rFonts w:ascii="Times New Roman" w:eastAsia="Times New Roman" w:hAnsi="Times New Roman" w:cs="Times New Roman"/>
                <w:color w:val="000000"/>
                <w:sz w:val="24"/>
                <w:szCs w:val="24"/>
                <w:lang w:eastAsia="ru-RU"/>
              </w:rPr>
              <w:t>3</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ВектоРубелла-IgG-авидность (кат.№2556)</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Назначение:для иммуноферментного определения  индекса авидности  иммуноглобулинов класса G к вирусу краснухи. Метод трехстадийный без предварительной промывки планшет. Количество определений не менее 48,  объем образца не более 10 мкл (рабочее разведение образца не менее 1:100). Цветовая индикация внесения образцов. Возможность дополнительной регистрации при 405 нм, если ОП образца выше динамического диапазона спектрофотометра.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всего срока годности набора.</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2</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2</w:t>
            </w:r>
            <w:r w:rsidR="004D3845" w:rsidRPr="003430B1">
              <w:rPr>
                <w:rFonts w:ascii="Times New Roman" w:eastAsia="Times New Roman" w:hAnsi="Times New Roman" w:cs="Times New Roman"/>
                <w:color w:val="000000"/>
                <w:sz w:val="24"/>
                <w:szCs w:val="24"/>
                <w:lang w:eastAsia="ru-RU"/>
              </w:rPr>
              <w:t>4</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Гельминты-IgG (кат.№3354)</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 для иммуноферментного выявления иммуноглобулинов класса  G к  антигенам  описторхисов, эхинококков, токсокар, трихинелл в сыворотке (плазме) крови.  Метод  двухстадийный без предварительной промывки планшет. Количество определений не менее 192 (по 6х8 стрипов  с каждым антигеном).  Объем образца не более 10 мкл (рабочее разведение не менее 1:100). Возможность определения титра антител. Наличие готовых контрольных образцов, унифицированных неспецифических компонентов,  разовых емкостей для растворов, планшета для предварительного разведения сывороток, наконечников для пипеток, клейкой пленки для планшетов. Возможность дробного использования набора в течение всего срока годности  набора.</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29</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2</w:t>
            </w:r>
            <w:r w:rsidR="004D3845" w:rsidRPr="003430B1">
              <w:rPr>
                <w:rFonts w:ascii="Times New Roman" w:eastAsia="Times New Roman" w:hAnsi="Times New Roman" w:cs="Times New Roman"/>
                <w:color w:val="000000"/>
                <w:sz w:val="24"/>
                <w:szCs w:val="24"/>
                <w:lang w:eastAsia="ru-RU"/>
              </w:rPr>
              <w:t>5</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Аскарида-IgG (кат.№3452)</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 для иммуноферментного  определения иммуноглобулинов класса G к антигенам Ascaris lumbricoides в сыворотке (плазме крови). Метод  двухстадийный без предварительной промывки планшет. Количество определений не менее 96.  Объем образца не более 10 мкл (рабочее разведение исследуемого образца не менее 1:100). Возможность определения титра антител. Рабочие растворы конъюгата и тетраметилбензидина жидкие, готовые, не требующие дополнительных разведений, стабильны на протяжении всего срока годности набора.  Возможность дробного использования набора в течение всего срока годности  набора. Наличие: унифицированных неспецифических компонентов,  готовых контрольных образцов, разовых емкостей для растворов, планшета для предварительного разведения сывороток, наконечников для пипеток, клейкой пленки для планшетов.</w:t>
            </w:r>
            <w:r w:rsidRPr="003430B1">
              <w:rPr>
                <w:rFonts w:ascii="Times New Roman" w:hAnsi="Times New Roman" w:cs="Times New Roman"/>
                <w:sz w:val="24"/>
                <w:szCs w:val="24"/>
                <w:lang w:eastAsia="ar-SA"/>
              </w:rPr>
              <w:t xml:space="preserve"> Производства </w:t>
            </w:r>
            <w:r w:rsidRPr="003430B1">
              <w:rPr>
                <w:rFonts w:ascii="Times New Roman" w:hAnsi="Times New Roman" w:cs="Times New Roman"/>
                <w:sz w:val="24"/>
                <w:szCs w:val="24"/>
                <w:lang w:eastAsia="ar-SA"/>
              </w:rPr>
              <w:lastRenderedPageBreak/>
              <w:t>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lastRenderedPageBreak/>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11</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lastRenderedPageBreak/>
              <w:t>2</w:t>
            </w:r>
            <w:r w:rsidR="004D3845" w:rsidRPr="003430B1">
              <w:rPr>
                <w:rFonts w:ascii="Times New Roman" w:eastAsia="Times New Roman" w:hAnsi="Times New Roman" w:cs="Times New Roman"/>
                <w:color w:val="000000"/>
                <w:sz w:val="24"/>
                <w:szCs w:val="24"/>
                <w:lang w:eastAsia="ru-RU"/>
              </w:rPr>
              <w:t>6</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Лямблия-антитела (кат.№3552)</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 для  иммуноферментного выявления  иммуноглобулинов класса  А, G, М к  антигенам  лямблий. Метод двухстадийный без предварительной промывки планшет. Количество определений не менее 96 (12х8 анализов).  Объем образца не более 10 мкл (рабочее разведение исследуемого образца  не менее 1:100).  Стабильность рабочих растворов коньюгата и  тетраметилбензидина не менее 3 часов, возможность определения титра либо коэффициента позитивности в положительных образцах, наличие: унифицированных неспецифических компонентов, готовых контрольных образцов,  разовых емкостей для растворов, планшета для предварительного разведения сывороток,  наконечников для пипеток, клейкой пленки для планшетов. Возможность дробного использования набора в течение всего срока годности  набора.</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5</w:t>
            </w:r>
          </w:p>
        </w:tc>
      </w:tr>
      <w:tr w:rsidR="004D3845" w:rsidRPr="003430B1" w:rsidTr="003430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2</w:t>
            </w:r>
            <w:r w:rsidR="004D3845" w:rsidRPr="003430B1">
              <w:rPr>
                <w:rFonts w:ascii="Times New Roman" w:eastAsia="Times New Roman" w:hAnsi="Times New Roman" w:cs="Times New Roman"/>
                <w:color w:val="000000"/>
                <w:sz w:val="24"/>
                <w:szCs w:val="24"/>
                <w:lang w:eastAsia="ru-RU"/>
              </w:rPr>
              <w:t>7</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ХеликоБест-антитела (кат.№3752)</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 для иммуноферментного выявления суммарных антител (А, G, М)  к антигену CagA Helicobacter pylori. Метод  «сэндвич»-вариант, двухстадийный.  Количество определений не менее 96, планшет разборный с иммобилизованным рекомбинантным антигеном CagA Helicobacter pylori.  Объем образца не более 20 мкл. Объемное равенство контролей и образцов. Наличие: готового раствора тетраметилбензидина,  унифицированных неспецифических компонентов ,  разовых емкостей для растворов, наконечников для пипеток, клейкой пленки для планшетов.</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3</w:t>
            </w:r>
          </w:p>
        </w:tc>
      </w:tr>
      <w:tr w:rsidR="004D3845" w:rsidRPr="003430B1" w:rsidTr="003430B1">
        <w:trPr>
          <w:trHeight w:val="274"/>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D3845" w:rsidRPr="003430B1" w:rsidRDefault="004B7005" w:rsidP="00A04532">
            <w:pPr>
              <w:spacing w:after="0" w:line="240" w:lineRule="auto"/>
              <w:jc w:val="center"/>
              <w:rPr>
                <w:rFonts w:ascii="Times New Roman" w:eastAsia="Times New Roman" w:hAnsi="Times New Roman" w:cs="Times New Roman"/>
                <w:color w:val="000000"/>
                <w:sz w:val="24"/>
                <w:szCs w:val="24"/>
                <w:lang w:eastAsia="ru-RU"/>
              </w:rPr>
            </w:pPr>
            <w:r w:rsidRPr="003430B1">
              <w:rPr>
                <w:rFonts w:ascii="Times New Roman" w:eastAsia="Times New Roman" w:hAnsi="Times New Roman" w:cs="Times New Roman"/>
                <w:color w:val="000000"/>
                <w:sz w:val="24"/>
                <w:szCs w:val="24"/>
                <w:lang w:eastAsia="ru-RU"/>
              </w:rPr>
              <w:t>28</w:t>
            </w:r>
          </w:p>
        </w:tc>
        <w:tc>
          <w:tcPr>
            <w:tcW w:w="3166" w:type="dxa"/>
            <w:tcBorders>
              <w:top w:val="single" w:sz="4" w:space="0" w:color="auto"/>
              <w:left w:val="nil"/>
              <w:bottom w:val="single" w:sz="4" w:space="0" w:color="auto"/>
              <w:right w:val="single" w:sz="4" w:space="0" w:color="auto"/>
            </w:tcBorders>
            <w:shd w:val="clear" w:color="000000" w:fill="FFFFFF"/>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ВектоРевматоидный фактор суммарный (кат.№8654)</w:t>
            </w:r>
          </w:p>
        </w:tc>
        <w:tc>
          <w:tcPr>
            <w:tcW w:w="9214" w:type="dxa"/>
            <w:tcBorders>
              <w:top w:val="single" w:sz="4" w:space="0" w:color="auto"/>
              <w:left w:val="nil"/>
              <w:bottom w:val="single" w:sz="4" w:space="0" w:color="auto"/>
              <w:right w:val="single" w:sz="4" w:space="0" w:color="auto"/>
            </w:tcBorders>
            <w:shd w:val="clear" w:color="auto" w:fill="auto"/>
            <w:noWrap/>
          </w:tcPr>
          <w:p w:rsidR="004D3845" w:rsidRPr="003430B1" w:rsidRDefault="004D3845" w:rsidP="00A04532">
            <w:pPr>
              <w:spacing w:after="0" w:line="240" w:lineRule="auto"/>
              <w:jc w:val="center"/>
              <w:rPr>
                <w:rFonts w:ascii="Times New Roman" w:hAnsi="Times New Roman" w:cs="Times New Roman"/>
                <w:sz w:val="24"/>
                <w:szCs w:val="24"/>
              </w:rPr>
            </w:pPr>
            <w:r w:rsidRPr="003430B1">
              <w:rPr>
                <w:rFonts w:ascii="Times New Roman" w:hAnsi="Times New Roman" w:cs="Times New Roman"/>
                <w:sz w:val="24"/>
                <w:szCs w:val="24"/>
              </w:rPr>
              <w:t>Назначение:для  иммуноферментного  определения  концентрации суммарного ревматоидного фактора в сыворотке крови. Метод  двухстадийный без предварительной промывки планшет.  Количество определений не менее 96 (не менее 48 в дублях), объем образца не более 10 мкл, рабочее разведение исследуемого образца не менее 1:100, диапазон измерений от 0 до 300 Ед/мл, чувствительность не более 1,5 Ед/мл. Количество калибраторов не менее 6 шт. Наличие унифицированных неспецифических компонентов,  разовых емкостей для растворов, наконечников для пипеток, клейкой пленки для планшетов, трафарета для построения калибровочного графика. Возможность дробного использования набора в течение всего срока годности  набора.</w:t>
            </w:r>
            <w:r w:rsidRPr="003430B1">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rsidP="00A04532">
            <w:pPr>
              <w:spacing w:after="0" w:line="240" w:lineRule="auto"/>
              <w:jc w:val="center"/>
              <w:rPr>
                <w:rFonts w:ascii="Times New Roman" w:hAnsi="Times New Roman" w:cs="Times New Roman"/>
                <w:color w:val="000000"/>
                <w:sz w:val="24"/>
                <w:szCs w:val="24"/>
              </w:rPr>
            </w:pPr>
            <w:r w:rsidRPr="003430B1">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D3845" w:rsidRPr="003430B1" w:rsidRDefault="004D3845">
            <w:pPr>
              <w:jc w:val="center"/>
              <w:rPr>
                <w:rFonts w:ascii="Times New Roman" w:hAnsi="Times New Roman" w:cs="Times New Roman"/>
              </w:rPr>
            </w:pPr>
            <w:r w:rsidRPr="003430B1">
              <w:rPr>
                <w:rFonts w:ascii="Times New Roman" w:hAnsi="Times New Roman" w:cs="Times New Roman"/>
              </w:rPr>
              <w:t>10</w:t>
            </w:r>
          </w:p>
        </w:tc>
      </w:tr>
    </w:tbl>
    <w:p w:rsidR="00D07BB1" w:rsidRPr="00A04532" w:rsidRDefault="00D07BB1" w:rsidP="00A04532">
      <w:pPr>
        <w:spacing w:after="0" w:line="240" w:lineRule="auto"/>
        <w:jc w:val="both"/>
        <w:rPr>
          <w:rFonts w:ascii="Times New Roman" w:hAnsi="Times New Roman" w:cs="Times New Roman"/>
          <w:b/>
          <w:sz w:val="24"/>
          <w:szCs w:val="24"/>
        </w:rPr>
      </w:pPr>
    </w:p>
    <w:p w:rsidR="00D07BB1" w:rsidRPr="00A04532" w:rsidRDefault="00D07BB1" w:rsidP="00A04532">
      <w:pPr>
        <w:spacing w:after="0" w:line="240" w:lineRule="auto"/>
        <w:jc w:val="both"/>
        <w:rPr>
          <w:rFonts w:ascii="Times New Roman" w:hAnsi="Times New Roman" w:cs="Times New Roman"/>
          <w:b/>
          <w:sz w:val="24"/>
          <w:szCs w:val="24"/>
        </w:rPr>
      </w:pPr>
    </w:p>
    <w:p w:rsidR="00253E0D" w:rsidRPr="00A04532" w:rsidRDefault="00253E0D" w:rsidP="00A04532">
      <w:pPr>
        <w:spacing w:after="0" w:line="240" w:lineRule="auto"/>
        <w:rPr>
          <w:rFonts w:ascii="Times New Roman" w:hAnsi="Times New Roman" w:cs="Times New Roman"/>
          <w:sz w:val="24"/>
          <w:szCs w:val="24"/>
        </w:rPr>
      </w:pPr>
    </w:p>
    <w:sectPr w:rsidR="00253E0D" w:rsidRPr="00A04532" w:rsidSect="009A1DA2">
      <w:pgSz w:w="16838" w:h="11906" w:orient="landscape"/>
      <w:pgMar w:top="851" w:right="1134" w:bottom="39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86A" w:rsidRDefault="00B3686A" w:rsidP="00EE3BAB">
      <w:pPr>
        <w:spacing w:after="0" w:line="240" w:lineRule="auto"/>
      </w:pPr>
      <w:r>
        <w:separator/>
      </w:r>
    </w:p>
  </w:endnote>
  <w:endnote w:type="continuationSeparator" w:id="0">
    <w:p w:rsidR="00B3686A" w:rsidRDefault="00B3686A" w:rsidP="00EE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86A" w:rsidRDefault="00B3686A" w:rsidP="00EE3BAB">
      <w:pPr>
        <w:spacing w:after="0" w:line="240" w:lineRule="auto"/>
      </w:pPr>
      <w:r>
        <w:separator/>
      </w:r>
    </w:p>
  </w:footnote>
  <w:footnote w:type="continuationSeparator" w:id="0">
    <w:p w:rsidR="00B3686A" w:rsidRDefault="00B3686A" w:rsidP="00EE3B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FFB"/>
    <w:rsid w:val="00035AC8"/>
    <w:rsid w:val="000438A9"/>
    <w:rsid w:val="00053110"/>
    <w:rsid w:val="000550C2"/>
    <w:rsid w:val="0006123A"/>
    <w:rsid w:val="00084ABE"/>
    <w:rsid w:val="000937BB"/>
    <w:rsid w:val="000B3FA0"/>
    <w:rsid w:val="000C02A6"/>
    <w:rsid w:val="000C17B4"/>
    <w:rsid w:val="000E11FC"/>
    <w:rsid w:val="00110544"/>
    <w:rsid w:val="001106A3"/>
    <w:rsid w:val="00115CEC"/>
    <w:rsid w:val="001223F9"/>
    <w:rsid w:val="001424BE"/>
    <w:rsid w:val="00162407"/>
    <w:rsid w:val="00166D2B"/>
    <w:rsid w:val="001A5404"/>
    <w:rsid w:val="001C6E02"/>
    <w:rsid w:val="001D7DE1"/>
    <w:rsid w:val="002075E8"/>
    <w:rsid w:val="0024205E"/>
    <w:rsid w:val="00253E0D"/>
    <w:rsid w:val="002650ED"/>
    <w:rsid w:val="00277CA6"/>
    <w:rsid w:val="00294A31"/>
    <w:rsid w:val="002B36F7"/>
    <w:rsid w:val="002C7A10"/>
    <w:rsid w:val="00300CE8"/>
    <w:rsid w:val="0030586A"/>
    <w:rsid w:val="00324A5F"/>
    <w:rsid w:val="00330C6D"/>
    <w:rsid w:val="003430B1"/>
    <w:rsid w:val="003506C9"/>
    <w:rsid w:val="00354F8C"/>
    <w:rsid w:val="00366ABC"/>
    <w:rsid w:val="003927B8"/>
    <w:rsid w:val="003C1F10"/>
    <w:rsid w:val="003C269E"/>
    <w:rsid w:val="003D1BA3"/>
    <w:rsid w:val="003E6D46"/>
    <w:rsid w:val="003F5573"/>
    <w:rsid w:val="0040674F"/>
    <w:rsid w:val="00413241"/>
    <w:rsid w:val="0042016C"/>
    <w:rsid w:val="00423961"/>
    <w:rsid w:val="004301EE"/>
    <w:rsid w:val="004420F8"/>
    <w:rsid w:val="00445F8C"/>
    <w:rsid w:val="00462FFB"/>
    <w:rsid w:val="0047127E"/>
    <w:rsid w:val="004B647D"/>
    <w:rsid w:val="004B7005"/>
    <w:rsid w:val="004C222E"/>
    <w:rsid w:val="004D3845"/>
    <w:rsid w:val="004F69C0"/>
    <w:rsid w:val="00565546"/>
    <w:rsid w:val="00576CA1"/>
    <w:rsid w:val="005A1388"/>
    <w:rsid w:val="005A4CEF"/>
    <w:rsid w:val="005A72CC"/>
    <w:rsid w:val="005A7CE1"/>
    <w:rsid w:val="005C6462"/>
    <w:rsid w:val="005D3735"/>
    <w:rsid w:val="005D37DB"/>
    <w:rsid w:val="005F6ADF"/>
    <w:rsid w:val="006310C4"/>
    <w:rsid w:val="0064299E"/>
    <w:rsid w:val="00651BCC"/>
    <w:rsid w:val="0065550A"/>
    <w:rsid w:val="0067652E"/>
    <w:rsid w:val="00693142"/>
    <w:rsid w:val="006962E5"/>
    <w:rsid w:val="006B4D35"/>
    <w:rsid w:val="006C19CD"/>
    <w:rsid w:val="006D456F"/>
    <w:rsid w:val="007018F9"/>
    <w:rsid w:val="00703B50"/>
    <w:rsid w:val="007060DB"/>
    <w:rsid w:val="007075A4"/>
    <w:rsid w:val="007116AC"/>
    <w:rsid w:val="007162A0"/>
    <w:rsid w:val="00736277"/>
    <w:rsid w:val="0077112D"/>
    <w:rsid w:val="00777F4A"/>
    <w:rsid w:val="00791CC0"/>
    <w:rsid w:val="007D74D3"/>
    <w:rsid w:val="008309D5"/>
    <w:rsid w:val="008365FB"/>
    <w:rsid w:val="00850928"/>
    <w:rsid w:val="008639FD"/>
    <w:rsid w:val="00876F74"/>
    <w:rsid w:val="00877991"/>
    <w:rsid w:val="00891659"/>
    <w:rsid w:val="008B1D6B"/>
    <w:rsid w:val="008D0AB1"/>
    <w:rsid w:val="008E11D5"/>
    <w:rsid w:val="008F7B40"/>
    <w:rsid w:val="00915298"/>
    <w:rsid w:val="009273B3"/>
    <w:rsid w:val="009372C0"/>
    <w:rsid w:val="009461A5"/>
    <w:rsid w:val="00963900"/>
    <w:rsid w:val="00965DFF"/>
    <w:rsid w:val="00970D59"/>
    <w:rsid w:val="00983D80"/>
    <w:rsid w:val="009A1DA2"/>
    <w:rsid w:val="009A459E"/>
    <w:rsid w:val="009C2BE3"/>
    <w:rsid w:val="009F0AAF"/>
    <w:rsid w:val="00A04532"/>
    <w:rsid w:val="00A12778"/>
    <w:rsid w:val="00A140A2"/>
    <w:rsid w:val="00A144D3"/>
    <w:rsid w:val="00A22426"/>
    <w:rsid w:val="00A46B6C"/>
    <w:rsid w:val="00A503CD"/>
    <w:rsid w:val="00A90116"/>
    <w:rsid w:val="00AB4EC5"/>
    <w:rsid w:val="00AB6C2D"/>
    <w:rsid w:val="00AB751D"/>
    <w:rsid w:val="00AC4E38"/>
    <w:rsid w:val="00B0187B"/>
    <w:rsid w:val="00B3686A"/>
    <w:rsid w:val="00B45F16"/>
    <w:rsid w:val="00B530AF"/>
    <w:rsid w:val="00B71271"/>
    <w:rsid w:val="00B87B50"/>
    <w:rsid w:val="00B95B81"/>
    <w:rsid w:val="00BB3CAA"/>
    <w:rsid w:val="00BB7B50"/>
    <w:rsid w:val="00BC55B6"/>
    <w:rsid w:val="00BC795D"/>
    <w:rsid w:val="00BD171C"/>
    <w:rsid w:val="00BD5610"/>
    <w:rsid w:val="00BE5405"/>
    <w:rsid w:val="00BF1141"/>
    <w:rsid w:val="00C27A6C"/>
    <w:rsid w:val="00C27E16"/>
    <w:rsid w:val="00C62B5A"/>
    <w:rsid w:val="00CD3E5E"/>
    <w:rsid w:val="00CD6EBE"/>
    <w:rsid w:val="00CF2435"/>
    <w:rsid w:val="00D00631"/>
    <w:rsid w:val="00D07BB1"/>
    <w:rsid w:val="00D13782"/>
    <w:rsid w:val="00D146F9"/>
    <w:rsid w:val="00D30E84"/>
    <w:rsid w:val="00D35EFF"/>
    <w:rsid w:val="00D81C93"/>
    <w:rsid w:val="00DA0F05"/>
    <w:rsid w:val="00DD157E"/>
    <w:rsid w:val="00DF1726"/>
    <w:rsid w:val="00E05C73"/>
    <w:rsid w:val="00E206FD"/>
    <w:rsid w:val="00E210D1"/>
    <w:rsid w:val="00E2223D"/>
    <w:rsid w:val="00E2347E"/>
    <w:rsid w:val="00EB1ACA"/>
    <w:rsid w:val="00EB3E7A"/>
    <w:rsid w:val="00EE3BAB"/>
    <w:rsid w:val="00F012D0"/>
    <w:rsid w:val="00F114B7"/>
    <w:rsid w:val="00F22C4F"/>
    <w:rsid w:val="00F2674A"/>
    <w:rsid w:val="00F47C11"/>
    <w:rsid w:val="00F570EA"/>
    <w:rsid w:val="00F60C37"/>
    <w:rsid w:val="00F67660"/>
    <w:rsid w:val="00F9417E"/>
    <w:rsid w:val="00FB49F7"/>
    <w:rsid w:val="00FB6C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0AA58"/>
  <w15:docId w15:val="{F86FC3A2-EE4C-4370-B8B8-232F33B78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2F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3B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E3BAB"/>
  </w:style>
  <w:style w:type="paragraph" w:styleId="a5">
    <w:name w:val="footer"/>
    <w:basedOn w:val="a"/>
    <w:link w:val="a6"/>
    <w:uiPriority w:val="99"/>
    <w:unhideWhenUsed/>
    <w:rsid w:val="00EE3B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E3BAB"/>
  </w:style>
  <w:style w:type="table" w:styleId="a7">
    <w:name w:val="Table Grid"/>
    <w:basedOn w:val="a1"/>
    <w:uiPriority w:val="59"/>
    <w:rsid w:val="008E11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F47C11"/>
    <w:pPr>
      <w:spacing w:after="0" w:line="240" w:lineRule="auto"/>
    </w:pPr>
  </w:style>
  <w:style w:type="paragraph" w:customStyle="1" w:styleId="Default">
    <w:name w:val="Default"/>
    <w:rsid w:val="00FB49F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69971">
      <w:bodyDiv w:val="1"/>
      <w:marLeft w:val="0"/>
      <w:marRight w:val="0"/>
      <w:marTop w:val="0"/>
      <w:marBottom w:val="0"/>
      <w:divBdr>
        <w:top w:val="none" w:sz="0" w:space="0" w:color="auto"/>
        <w:left w:val="none" w:sz="0" w:space="0" w:color="auto"/>
        <w:bottom w:val="none" w:sz="0" w:space="0" w:color="auto"/>
        <w:right w:val="none" w:sz="0" w:space="0" w:color="auto"/>
      </w:divBdr>
    </w:div>
    <w:div w:id="50735686">
      <w:bodyDiv w:val="1"/>
      <w:marLeft w:val="0"/>
      <w:marRight w:val="0"/>
      <w:marTop w:val="0"/>
      <w:marBottom w:val="0"/>
      <w:divBdr>
        <w:top w:val="none" w:sz="0" w:space="0" w:color="auto"/>
        <w:left w:val="none" w:sz="0" w:space="0" w:color="auto"/>
        <w:bottom w:val="none" w:sz="0" w:space="0" w:color="auto"/>
        <w:right w:val="none" w:sz="0" w:space="0" w:color="auto"/>
      </w:divBdr>
    </w:div>
    <w:div w:id="115105609">
      <w:bodyDiv w:val="1"/>
      <w:marLeft w:val="0"/>
      <w:marRight w:val="0"/>
      <w:marTop w:val="0"/>
      <w:marBottom w:val="0"/>
      <w:divBdr>
        <w:top w:val="none" w:sz="0" w:space="0" w:color="auto"/>
        <w:left w:val="none" w:sz="0" w:space="0" w:color="auto"/>
        <w:bottom w:val="none" w:sz="0" w:space="0" w:color="auto"/>
        <w:right w:val="none" w:sz="0" w:space="0" w:color="auto"/>
      </w:divBdr>
    </w:div>
    <w:div w:id="181289629">
      <w:bodyDiv w:val="1"/>
      <w:marLeft w:val="0"/>
      <w:marRight w:val="0"/>
      <w:marTop w:val="0"/>
      <w:marBottom w:val="0"/>
      <w:divBdr>
        <w:top w:val="none" w:sz="0" w:space="0" w:color="auto"/>
        <w:left w:val="none" w:sz="0" w:space="0" w:color="auto"/>
        <w:bottom w:val="none" w:sz="0" w:space="0" w:color="auto"/>
        <w:right w:val="none" w:sz="0" w:space="0" w:color="auto"/>
      </w:divBdr>
    </w:div>
    <w:div w:id="192310073">
      <w:bodyDiv w:val="1"/>
      <w:marLeft w:val="0"/>
      <w:marRight w:val="0"/>
      <w:marTop w:val="0"/>
      <w:marBottom w:val="0"/>
      <w:divBdr>
        <w:top w:val="none" w:sz="0" w:space="0" w:color="auto"/>
        <w:left w:val="none" w:sz="0" w:space="0" w:color="auto"/>
        <w:bottom w:val="none" w:sz="0" w:space="0" w:color="auto"/>
        <w:right w:val="none" w:sz="0" w:space="0" w:color="auto"/>
      </w:divBdr>
    </w:div>
    <w:div w:id="425617368">
      <w:bodyDiv w:val="1"/>
      <w:marLeft w:val="0"/>
      <w:marRight w:val="0"/>
      <w:marTop w:val="0"/>
      <w:marBottom w:val="0"/>
      <w:divBdr>
        <w:top w:val="none" w:sz="0" w:space="0" w:color="auto"/>
        <w:left w:val="none" w:sz="0" w:space="0" w:color="auto"/>
        <w:bottom w:val="none" w:sz="0" w:space="0" w:color="auto"/>
        <w:right w:val="none" w:sz="0" w:space="0" w:color="auto"/>
      </w:divBdr>
    </w:div>
    <w:div w:id="553393691">
      <w:bodyDiv w:val="1"/>
      <w:marLeft w:val="0"/>
      <w:marRight w:val="0"/>
      <w:marTop w:val="0"/>
      <w:marBottom w:val="0"/>
      <w:divBdr>
        <w:top w:val="none" w:sz="0" w:space="0" w:color="auto"/>
        <w:left w:val="none" w:sz="0" w:space="0" w:color="auto"/>
        <w:bottom w:val="none" w:sz="0" w:space="0" w:color="auto"/>
        <w:right w:val="none" w:sz="0" w:space="0" w:color="auto"/>
      </w:divBdr>
    </w:div>
    <w:div w:id="601304163">
      <w:bodyDiv w:val="1"/>
      <w:marLeft w:val="0"/>
      <w:marRight w:val="0"/>
      <w:marTop w:val="0"/>
      <w:marBottom w:val="0"/>
      <w:divBdr>
        <w:top w:val="none" w:sz="0" w:space="0" w:color="auto"/>
        <w:left w:val="none" w:sz="0" w:space="0" w:color="auto"/>
        <w:bottom w:val="none" w:sz="0" w:space="0" w:color="auto"/>
        <w:right w:val="none" w:sz="0" w:space="0" w:color="auto"/>
      </w:divBdr>
    </w:div>
    <w:div w:id="794102728">
      <w:bodyDiv w:val="1"/>
      <w:marLeft w:val="0"/>
      <w:marRight w:val="0"/>
      <w:marTop w:val="0"/>
      <w:marBottom w:val="0"/>
      <w:divBdr>
        <w:top w:val="none" w:sz="0" w:space="0" w:color="auto"/>
        <w:left w:val="none" w:sz="0" w:space="0" w:color="auto"/>
        <w:bottom w:val="none" w:sz="0" w:space="0" w:color="auto"/>
        <w:right w:val="none" w:sz="0" w:space="0" w:color="auto"/>
      </w:divBdr>
    </w:div>
    <w:div w:id="931475669">
      <w:bodyDiv w:val="1"/>
      <w:marLeft w:val="0"/>
      <w:marRight w:val="0"/>
      <w:marTop w:val="0"/>
      <w:marBottom w:val="0"/>
      <w:divBdr>
        <w:top w:val="none" w:sz="0" w:space="0" w:color="auto"/>
        <w:left w:val="none" w:sz="0" w:space="0" w:color="auto"/>
        <w:bottom w:val="none" w:sz="0" w:space="0" w:color="auto"/>
        <w:right w:val="none" w:sz="0" w:space="0" w:color="auto"/>
      </w:divBdr>
    </w:div>
    <w:div w:id="959604484">
      <w:bodyDiv w:val="1"/>
      <w:marLeft w:val="0"/>
      <w:marRight w:val="0"/>
      <w:marTop w:val="0"/>
      <w:marBottom w:val="0"/>
      <w:divBdr>
        <w:top w:val="none" w:sz="0" w:space="0" w:color="auto"/>
        <w:left w:val="none" w:sz="0" w:space="0" w:color="auto"/>
        <w:bottom w:val="none" w:sz="0" w:space="0" w:color="auto"/>
        <w:right w:val="none" w:sz="0" w:space="0" w:color="auto"/>
      </w:divBdr>
    </w:div>
    <w:div w:id="1198085853">
      <w:bodyDiv w:val="1"/>
      <w:marLeft w:val="0"/>
      <w:marRight w:val="0"/>
      <w:marTop w:val="0"/>
      <w:marBottom w:val="0"/>
      <w:divBdr>
        <w:top w:val="none" w:sz="0" w:space="0" w:color="auto"/>
        <w:left w:val="none" w:sz="0" w:space="0" w:color="auto"/>
        <w:bottom w:val="none" w:sz="0" w:space="0" w:color="auto"/>
        <w:right w:val="none" w:sz="0" w:space="0" w:color="auto"/>
      </w:divBdr>
    </w:div>
    <w:div w:id="1229532203">
      <w:bodyDiv w:val="1"/>
      <w:marLeft w:val="0"/>
      <w:marRight w:val="0"/>
      <w:marTop w:val="0"/>
      <w:marBottom w:val="0"/>
      <w:divBdr>
        <w:top w:val="none" w:sz="0" w:space="0" w:color="auto"/>
        <w:left w:val="none" w:sz="0" w:space="0" w:color="auto"/>
        <w:bottom w:val="none" w:sz="0" w:space="0" w:color="auto"/>
        <w:right w:val="none" w:sz="0" w:space="0" w:color="auto"/>
      </w:divBdr>
    </w:div>
    <w:div w:id="1494446172">
      <w:bodyDiv w:val="1"/>
      <w:marLeft w:val="0"/>
      <w:marRight w:val="0"/>
      <w:marTop w:val="0"/>
      <w:marBottom w:val="0"/>
      <w:divBdr>
        <w:top w:val="none" w:sz="0" w:space="0" w:color="auto"/>
        <w:left w:val="none" w:sz="0" w:space="0" w:color="auto"/>
        <w:bottom w:val="none" w:sz="0" w:space="0" w:color="auto"/>
        <w:right w:val="none" w:sz="0" w:space="0" w:color="auto"/>
      </w:divBdr>
    </w:div>
    <w:div w:id="1512404400">
      <w:bodyDiv w:val="1"/>
      <w:marLeft w:val="0"/>
      <w:marRight w:val="0"/>
      <w:marTop w:val="0"/>
      <w:marBottom w:val="0"/>
      <w:divBdr>
        <w:top w:val="none" w:sz="0" w:space="0" w:color="auto"/>
        <w:left w:val="none" w:sz="0" w:space="0" w:color="auto"/>
        <w:bottom w:val="none" w:sz="0" w:space="0" w:color="auto"/>
        <w:right w:val="none" w:sz="0" w:space="0" w:color="auto"/>
      </w:divBdr>
    </w:div>
    <w:div w:id="1614746105">
      <w:bodyDiv w:val="1"/>
      <w:marLeft w:val="0"/>
      <w:marRight w:val="0"/>
      <w:marTop w:val="0"/>
      <w:marBottom w:val="0"/>
      <w:divBdr>
        <w:top w:val="none" w:sz="0" w:space="0" w:color="auto"/>
        <w:left w:val="none" w:sz="0" w:space="0" w:color="auto"/>
        <w:bottom w:val="none" w:sz="0" w:space="0" w:color="auto"/>
        <w:right w:val="none" w:sz="0" w:space="0" w:color="auto"/>
      </w:divBdr>
    </w:div>
    <w:div w:id="1683313435">
      <w:bodyDiv w:val="1"/>
      <w:marLeft w:val="0"/>
      <w:marRight w:val="0"/>
      <w:marTop w:val="0"/>
      <w:marBottom w:val="0"/>
      <w:divBdr>
        <w:top w:val="none" w:sz="0" w:space="0" w:color="auto"/>
        <w:left w:val="none" w:sz="0" w:space="0" w:color="auto"/>
        <w:bottom w:val="none" w:sz="0" w:space="0" w:color="auto"/>
        <w:right w:val="none" w:sz="0" w:space="0" w:color="auto"/>
      </w:divBdr>
    </w:div>
    <w:div w:id="1790052147">
      <w:bodyDiv w:val="1"/>
      <w:marLeft w:val="0"/>
      <w:marRight w:val="0"/>
      <w:marTop w:val="0"/>
      <w:marBottom w:val="0"/>
      <w:divBdr>
        <w:top w:val="none" w:sz="0" w:space="0" w:color="auto"/>
        <w:left w:val="none" w:sz="0" w:space="0" w:color="auto"/>
        <w:bottom w:val="none" w:sz="0" w:space="0" w:color="auto"/>
        <w:right w:val="none" w:sz="0" w:space="0" w:color="auto"/>
      </w:divBdr>
    </w:div>
    <w:div w:id="1797144209">
      <w:bodyDiv w:val="1"/>
      <w:marLeft w:val="0"/>
      <w:marRight w:val="0"/>
      <w:marTop w:val="0"/>
      <w:marBottom w:val="0"/>
      <w:divBdr>
        <w:top w:val="none" w:sz="0" w:space="0" w:color="auto"/>
        <w:left w:val="none" w:sz="0" w:space="0" w:color="auto"/>
        <w:bottom w:val="none" w:sz="0" w:space="0" w:color="auto"/>
        <w:right w:val="none" w:sz="0" w:space="0" w:color="auto"/>
      </w:divBdr>
    </w:div>
    <w:div w:id="18451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C1A9C-6816-4045-97EC-451A09594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10</Pages>
  <Words>4221</Words>
  <Characters>24065</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Ряхова Светлана Анатольевна</dc:creator>
  <cp:lastModifiedBy>Валитова Алиса Талгатовна</cp:lastModifiedBy>
  <cp:revision>69</cp:revision>
  <dcterms:created xsi:type="dcterms:W3CDTF">2020-12-22T05:41:00Z</dcterms:created>
  <dcterms:modified xsi:type="dcterms:W3CDTF">2023-03-02T07:35:00Z</dcterms:modified>
</cp:coreProperties>
</file>